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02AA" w14:textId="77777777" w:rsidR="001700B5" w:rsidRDefault="001700B5" w:rsidP="001700B5">
      <w:pPr>
        <w:jc w:val="center"/>
        <w:rPr>
          <w:rFonts w:ascii="Arial" w:hAnsi="Arial" w:cs="Arial"/>
          <w:b/>
          <w:sz w:val="16"/>
          <w:szCs w:val="16"/>
        </w:rPr>
      </w:pPr>
    </w:p>
    <w:p w14:paraId="592C7342" w14:textId="77777777" w:rsidR="00385765" w:rsidRPr="001700B5" w:rsidRDefault="00385765" w:rsidP="001700B5">
      <w:pPr>
        <w:jc w:val="center"/>
        <w:rPr>
          <w:rFonts w:ascii="Arial" w:hAnsi="Arial" w:cs="Arial"/>
          <w:b/>
          <w:sz w:val="16"/>
          <w:szCs w:val="16"/>
        </w:rPr>
      </w:pPr>
    </w:p>
    <w:p w14:paraId="57CC2DE2" w14:textId="77777777" w:rsidR="001700B5" w:rsidRDefault="001700B5" w:rsidP="001700B5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Programme de Formation</w:t>
      </w:r>
    </w:p>
    <w:p w14:paraId="7D29E54E" w14:textId="77777777" w:rsidR="00CD090E" w:rsidRPr="00F132C6" w:rsidRDefault="00CD090E" w:rsidP="001700B5">
      <w:pPr>
        <w:jc w:val="center"/>
        <w:rPr>
          <w:rFonts w:ascii="Arial" w:hAnsi="Arial" w:cs="Arial"/>
          <w:b/>
          <w:sz w:val="20"/>
          <w:szCs w:val="20"/>
        </w:rPr>
      </w:pPr>
    </w:p>
    <w:p w14:paraId="798DECF2" w14:textId="0AF73B4B" w:rsidR="001700B5" w:rsidRPr="009451D6" w:rsidRDefault="001700B5" w:rsidP="001700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Formation </w:t>
      </w:r>
      <w:r w:rsidR="0006015D">
        <w:rPr>
          <w:rFonts w:ascii="Arial" w:hAnsi="Arial" w:cs="Arial"/>
          <w:b/>
          <w:sz w:val="24"/>
          <w:szCs w:val="24"/>
        </w:rPr>
        <w:t>B78 vers 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49279C" w14:textId="77777777" w:rsidR="0006015D" w:rsidRDefault="0006015D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B4ECAAF" w14:textId="77777777" w:rsidR="00CD090E" w:rsidRDefault="00CD090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1BB2262A" w14:textId="52EB7DE2" w:rsidR="006764DC" w:rsidRDefault="006764DC" w:rsidP="006764DC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Acquérir des</w:t>
      </w:r>
      <w:r w:rsidR="006D569E"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connaissances techniques, réglementaires, et de s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écurité routière permettant de pouvoir conduire un véhicule </w:t>
      </w:r>
      <w:r w:rsidR="0006015D">
        <w:rPr>
          <w:rFonts w:ascii="Century Gothic" w:hAnsi="Century Gothic" w:cs="Arial"/>
          <w:sz w:val="20"/>
          <w:szCs w:val="20"/>
          <w:shd w:val="clear" w:color="auto" w:fill="FFFFFF"/>
        </w:rPr>
        <w:t>de la catégorie B avec une boite manuelle</w:t>
      </w:r>
    </w:p>
    <w:p w14:paraId="1CCBD65D" w14:textId="77777777" w:rsidR="0006015D" w:rsidRPr="006D569E" w:rsidRDefault="0006015D" w:rsidP="006764DC">
      <w:pPr>
        <w:spacing w:after="0" w:line="276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67829A76" w14:textId="77777777" w:rsidR="00872C46" w:rsidRPr="00BC1622" w:rsidRDefault="00872C4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FC8843A" w14:textId="184CD40F" w:rsidR="00872C46" w:rsidRDefault="00872C46" w:rsidP="00872C46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1700B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Après une évaluation préalable, la formation se décompose en </w:t>
      </w:r>
      <w:r w:rsidR="0006015D">
        <w:rPr>
          <w:rFonts w:ascii="Century Gothic" w:hAnsi="Century Gothic" w:cs="Arial"/>
          <w:sz w:val="20"/>
          <w:szCs w:val="20"/>
          <w:shd w:val="clear" w:color="auto" w:fill="FFFFFF"/>
        </w:rPr>
        <w:t>deux séquences</w:t>
      </w:r>
      <w:r w:rsidRPr="001700B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 : </w:t>
      </w:r>
    </w:p>
    <w:p w14:paraId="02C6426D" w14:textId="77777777" w:rsidR="00385765" w:rsidRPr="001700B5" w:rsidRDefault="00385765" w:rsidP="00872C46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1A8571B9" w14:textId="44744CB2" w:rsidR="00872C46" w:rsidRDefault="0006015D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Dans un trafic nul ou faible, l’élève doit acquérir les connaissances et les compétences suivantes :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>Durée : 2 heures</w:t>
      </w:r>
    </w:p>
    <w:p w14:paraId="7F94DBC0" w14:textId="1FB3CA79" w:rsidR="0006015D" w:rsidRDefault="0006015D" w:rsidP="0006015D">
      <w:pPr>
        <w:pStyle w:val="Paragraphedeliste"/>
        <w:numPr>
          <w:ilvl w:val="0"/>
          <w:numId w:val="18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Comprendre le principe du point de patinage de l’embrayage et assurer sa mise en œuvre </w:t>
      </w:r>
    </w:p>
    <w:p w14:paraId="4F6B3868" w14:textId="4D607D61" w:rsidR="0006015D" w:rsidRDefault="0006015D" w:rsidP="0006015D">
      <w:pPr>
        <w:pStyle w:val="Paragraphedeliste"/>
        <w:numPr>
          <w:ilvl w:val="0"/>
          <w:numId w:val="18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Etre en capacité de réaliser un démarrage en côte en toute sécurité</w:t>
      </w:r>
    </w:p>
    <w:p w14:paraId="64FCB2B4" w14:textId="79171B6F" w:rsidR="0006015D" w:rsidRDefault="0006015D" w:rsidP="0006015D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Une partie de cette séquence, limitée à une heure, peut-être réalisée sur simulateur notamment pour apprendre à utiliser la boite de vitesse manuelle</w:t>
      </w:r>
    </w:p>
    <w:p w14:paraId="60A01A20" w14:textId="77777777" w:rsidR="0006015D" w:rsidRPr="0006015D" w:rsidRDefault="0006015D" w:rsidP="0006015D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FEBE70E" w14:textId="4D44E7BB" w:rsidR="00385765" w:rsidRDefault="0006015D" w:rsidP="00385765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Cette séquence se déroule dans des conditions de circulation variées, simples et complexes. </w:t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  <w:t>Durée : 5 heures</w:t>
      </w:r>
    </w:p>
    <w:p w14:paraId="4A161C35" w14:textId="55403AB9" w:rsidR="00385765" w:rsidRDefault="00385765" w:rsidP="00385765">
      <w:pPr>
        <w:pStyle w:val="Paragraphedeliste"/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Elle permet l’acquisition des compétences suivantes :</w:t>
      </w:r>
    </w:p>
    <w:p w14:paraId="157E0320" w14:textId="77777777" w:rsidR="00385765" w:rsidRDefault="00385765" w:rsidP="00385765">
      <w:pPr>
        <w:pStyle w:val="Paragraphedeliste"/>
        <w:numPr>
          <w:ilvl w:val="0"/>
          <w:numId w:val="19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Savoir utiliser la boite de vitesse manuelle de façon rationnelle et en toute sécurité dans des conditions de circulation précitées et adopter les techniques de l’éco-conduite</w:t>
      </w:r>
    </w:p>
    <w:p w14:paraId="1C19A247" w14:textId="0261F37A" w:rsidR="00385765" w:rsidRPr="00385765" w:rsidRDefault="00385765" w:rsidP="00385765">
      <w:pPr>
        <w:pStyle w:val="Paragraphedeliste"/>
        <w:numPr>
          <w:ilvl w:val="0"/>
          <w:numId w:val="19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Etre en capacité de diriger le véhicule en adaptant l’allure et la trajectoire à l’environnement et aux conditions de circulation  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6AE65252" w14:textId="2B4C43D9" w:rsidR="00872C46" w:rsidRPr="00C4296F" w:rsidRDefault="00872C46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Etre titulaire du permis B </w:t>
      </w:r>
      <w:r w:rsidR="00385765">
        <w:rPr>
          <w:rFonts w:ascii="Century Gothic" w:hAnsi="Century Gothic" w:cs="Arial"/>
          <w:color w:val="404040" w:themeColor="text1" w:themeTint="BF"/>
          <w:sz w:val="20"/>
          <w:szCs w:val="20"/>
        </w:rPr>
        <w:t>mention B78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F9AE8CA" w14:textId="77777777" w:rsidR="006D569E" w:rsidRPr="006D569E" w:rsidRDefault="006D569E" w:rsidP="00872C46">
      <w:p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41418882" w14:textId="5C0EBFF8" w:rsidR="006D569E" w:rsidRDefault="00385765" w:rsidP="00385765">
      <w:p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Avoir un niveau de conduite sécuritaire suffisant d’un véhicule avec boite manuelle</w:t>
      </w:r>
    </w:p>
    <w:p w14:paraId="5592DBE6" w14:textId="77777777" w:rsidR="00385765" w:rsidRDefault="00385765" w:rsidP="00385765">
      <w:p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14:paraId="10217B7F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F8B7852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5493E30A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879DD36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6282DA6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E6BE24A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327A0F2" w14:textId="77777777" w:rsidR="001275F3" w:rsidRDefault="001275F3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lastRenderedPageBreak/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Pr="001700B5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1700B5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35BCB47D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0EDDCB58" w14:textId="10EDEFAB" w:rsidR="006D569E" w:rsidRPr="00385765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385765">
        <w:rPr>
          <w:color w:val="000000" w:themeColor="text1"/>
          <w:sz w:val="24"/>
        </w:rPr>
        <w:t>Conditions de réussite</w:t>
      </w:r>
      <w:r w:rsidR="006D569E" w:rsidRPr="00385765">
        <w:rPr>
          <w:color w:val="000000" w:themeColor="text1"/>
          <w:sz w:val="24"/>
        </w:rPr>
        <w:t> :</w:t>
      </w:r>
      <w:r w:rsidR="005538E2" w:rsidRPr="00385765">
        <w:rPr>
          <w:color w:val="000000" w:themeColor="text1"/>
          <w:sz w:val="24"/>
        </w:rPr>
        <w:t xml:space="preserve"> </w:t>
      </w:r>
      <w:r w:rsidR="006D569E" w:rsidRPr="00385765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</w:t>
      </w:r>
      <w:bookmarkStart w:id="0" w:name="_GoBack"/>
      <w:bookmarkEnd w:id="0"/>
      <w:r w:rsidR="006D569E" w:rsidRPr="00385765">
        <w:rPr>
          <w:rFonts w:ascii="Century Gothic" w:hAnsi="Century Gothic" w:cs="Arial"/>
          <w:color w:val="404040" w:themeColor="text1" w:themeTint="BF"/>
          <w:sz w:val="20"/>
          <w:szCs w:val="20"/>
        </w:rPr>
        <w:t>en blanc.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5D2DB9AF" w14:textId="77777777" w:rsidR="00F61263" w:rsidRDefault="00F61263" w:rsidP="00F61263">
      <w:pPr>
        <w:spacing w:after="0" w:line="240" w:lineRule="auto"/>
        <w:ind w:left="360"/>
        <w:rPr>
          <w:i/>
          <w:color w:val="000000" w:themeColor="text1"/>
          <w:sz w:val="24"/>
        </w:rPr>
      </w:pPr>
    </w:p>
    <w:p w14:paraId="1FC5824C" w14:textId="41A7B6DD" w:rsidR="00A44DEA" w:rsidRPr="001700B5" w:rsidRDefault="00A44DEA" w:rsidP="001700B5">
      <w:pPr>
        <w:spacing w:after="0" w:line="240" w:lineRule="auto"/>
        <w:rPr>
          <w:b/>
          <w:color w:val="000000" w:themeColor="text1"/>
          <w:sz w:val="24"/>
        </w:rPr>
      </w:pPr>
      <w:r w:rsidRPr="001700B5">
        <w:rPr>
          <w:b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29DAC096" w14:textId="5F93E469" w:rsidR="00803FA4" w:rsidRPr="00803FA4" w:rsidRDefault="00803FA4" w:rsidP="00803FA4">
      <w:pPr>
        <w:spacing w:after="0" w:line="240" w:lineRule="auto"/>
        <w:ind w:left="708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</w:pPr>
      <w:r w:rsidRPr="00803FA4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  <w:t xml:space="preserve">Délivrance d’une attestation de formation permettant de faire la demande d’obtention de titre « permis 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  <w:t>B</w:t>
      </w:r>
      <w:r w:rsidRPr="00803FA4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  <w:t xml:space="preserve"> » 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085606FA" w:rsidR="00F132C6" w:rsidRPr="00803FA4" w:rsidRDefault="00813667" w:rsidP="00F132C6">
      <w:pPr>
        <w:spacing w:after="0" w:line="240" w:lineRule="auto"/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</w:pPr>
      <w:r w:rsidRPr="00803FA4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7</w:t>
      </w:r>
      <w:r w:rsidR="00F132C6" w:rsidRPr="00803FA4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 xml:space="preserve">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Pr="001700B5" w:rsidRDefault="00F132C6" w:rsidP="00F132C6">
      <w:pPr>
        <w:spacing w:after="0"/>
        <w:rPr>
          <w:rFonts w:ascii="Century Gothic" w:hAnsi="Century Gothic"/>
          <w:i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Pr="001700B5" w:rsidRDefault="00F132C6" w:rsidP="00F132C6">
      <w:pPr>
        <w:spacing w:after="0"/>
        <w:rPr>
          <w:rFonts w:ascii="Century Gothic" w:hAnsi="Century Gothic"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Nous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4C1027F8" w14:textId="77777777" w:rsidR="001700B5" w:rsidRDefault="001700B5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9840093" w14:textId="733B7BFA" w:rsidR="00D26634" w:rsidRPr="001700B5" w:rsidRDefault="00D26634" w:rsidP="00D26634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>Chaque situation de handicap étant unique, nous vous demandons de préciser à l’inscription votre handicap. Nous pourrons ainsi confirmer l’ensemble des possibilités d’accueil et de mise en œuvre de la formation. Pour toutes informations complémenta</w:t>
      </w:r>
      <w:r w:rsidR="001700B5" w:rsidRPr="001700B5">
        <w:rPr>
          <w:rFonts w:ascii="Century Gothic" w:hAnsi="Century Gothic" w:cs="Arial"/>
          <w:sz w:val="20"/>
          <w:szCs w:val="20"/>
        </w:rPr>
        <w:t xml:space="preserve">ires, vous pouvez contacter </w:t>
      </w:r>
      <w:r w:rsidR="001700B5" w:rsidRPr="001700B5">
        <w:rPr>
          <w:rFonts w:ascii="Century Gothic" w:hAnsi="Century Gothic" w:cs="Arial"/>
          <w:color w:val="FF0000"/>
          <w:sz w:val="20"/>
          <w:szCs w:val="20"/>
        </w:rPr>
        <w:t>https://www.automobile.ceremh.org/</w:t>
      </w:r>
    </w:p>
    <w:sectPr w:rsidR="00D26634" w:rsidRPr="001700B5" w:rsidSect="00F132C6">
      <w:headerReference w:type="default" r:id="rId7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2ED7" w14:textId="77777777" w:rsidR="00CB4589" w:rsidRDefault="00CB4589" w:rsidP="00832AAD">
      <w:pPr>
        <w:spacing w:after="0" w:line="240" w:lineRule="auto"/>
      </w:pPr>
      <w:r>
        <w:separator/>
      </w:r>
    </w:p>
  </w:endnote>
  <w:endnote w:type="continuationSeparator" w:id="0">
    <w:p w14:paraId="7A75078D" w14:textId="77777777" w:rsidR="00CB4589" w:rsidRDefault="00CB4589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5928" w14:textId="77777777" w:rsidR="00CB4589" w:rsidRDefault="00CB4589" w:rsidP="00832AAD">
      <w:pPr>
        <w:spacing w:after="0" w:line="240" w:lineRule="auto"/>
      </w:pPr>
      <w:r>
        <w:separator/>
      </w:r>
    </w:p>
  </w:footnote>
  <w:footnote w:type="continuationSeparator" w:id="0">
    <w:p w14:paraId="0A4B9905" w14:textId="77777777" w:rsidR="00CB4589" w:rsidRDefault="00CB4589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4909" w14:textId="77777777" w:rsidR="006612E7" w:rsidRDefault="006612E7" w:rsidP="006612E7">
    <w:pPr>
      <w:pStyle w:val="En-tte"/>
    </w:pPr>
    <w:r>
      <w:t>COORDONNEES AUTO ECOLE</w:t>
    </w:r>
  </w:p>
  <w:p w14:paraId="1703DD20" w14:textId="77777777" w:rsidR="006612E7" w:rsidRPr="006612E7" w:rsidRDefault="006612E7" w:rsidP="00661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16A"/>
    <w:multiLevelType w:val="hybridMultilevel"/>
    <w:tmpl w:val="61A68630"/>
    <w:lvl w:ilvl="0" w:tplc="76DEB6C0">
      <w:start w:val="3"/>
      <w:numFmt w:val="bullet"/>
      <w:lvlText w:val="-"/>
      <w:lvlJc w:val="left"/>
      <w:pPr>
        <w:ind w:left="1776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3AA"/>
    <w:multiLevelType w:val="hybridMultilevel"/>
    <w:tmpl w:val="B9BCD0D4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A3F90"/>
    <w:multiLevelType w:val="hybridMultilevel"/>
    <w:tmpl w:val="25EC5BAA"/>
    <w:lvl w:ilvl="0" w:tplc="896EC7C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Arial"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2386"/>
    <w:multiLevelType w:val="hybridMultilevel"/>
    <w:tmpl w:val="F4DEAA3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2B7"/>
    <w:rsid w:val="00015C7C"/>
    <w:rsid w:val="0006015D"/>
    <w:rsid w:val="00061E5D"/>
    <w:rsid w:val="00086CC6"/>
    <w:rsid w:val="000A223D"/>
    <w:rsid w:val="000B136A"/>
    <w:rsid w:val="000B2358"/>
    <w:rsid w:val="000C092B"/>
    <w:rsid w:val="000D5967"/>
    <w:rsid w:val="001234EB"/>
    <w:rsid w:val="001275F3"/>
    <w:rsid w:val="00130017"/>
    <w:rsid w:val="001700B5"/>
    <w:rsid w:val="001B611B"/>
    <w:rsid w:val="001D0077"/>
    <w:rsid w:val="00205FA7"/>
    <w:rsid w:val="00224047"/>
    <w:rsid w:val="002332A1"/>
    <w:rsid w:val="0023574C"/>
    <w:rsid w:val="002632FB"/>
    <w:rsid w:val="0026751C"/>
    <w:rsid w:val="002E6E6E"/>
    <w:rsid w:val="0033334D"/>
    <w:rsid w:val="003459FF"/>
    <w:rsid w:val="0037717E"/>
    <w:rsid w:val="00385765"/>
    <w:rsid w:val="0039082C"/>
    <w:rsid w:val="003B0D44"/>
    <w:rsid w:val="003B2F8C"/>
    <w:rsid w:val="003B7AD7"/>
    <w:rsid w:val="004678AC"/>
    <w:rsid w:val="004A09D2"/>
    <w:rsid w:val="004A1DDA"/>
    <w:rsid w:val="005538E2"/>
    <w:rsid w:val="0056345C"/>
    <w:rsid w:val="005A2AF7"/>
    <w:rsid w:val="005E3B3C"/>
    <w:rsid w:val="00602211"/>
    <w:rsid w:val="00660AC4"/>
    <w:rsid w:val="006612E7"/>
    <w:rsid w:val="006764DC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B3B89"/>
    <w:rsid w:val="007F04E5"/>
    <w:rsid w:val="007F4970"/>
    <w:rsid w:val="0080246C"/>
    <w:rsid w:val="00803FA4"/>
    <w:rsid w:val="00813667"/>
    <w:rsid w:val="00832AAD"/>
    <w:rsid w:val="0085490E"/>
    <w:rsid w:val="008550C5"/>
    <w:rsid w:val="00871E91"/>
    <w:rsid w:val="00872C46"/>
    <w:rsid w:val="008D740E"/>
    <w:rsid w:val="00903D3E"/>
    <w:rsid w:val="00916EC9"/>
    <w:rsid w:val="009451D6"/>
    <w:rsid w:val="009463A9"/>
    <w:rsid w:val="00947935"/>
    <w:rsid w:val="00963724"/>
    <w:rsid w:val="00985494"/>
    <w:rsid w:val="009A3C9D"/>
    <w:rsid w:val="009F5792"/>
    <w:rsid w:val="00A44DEA"/>
    <w:rsid w:val="00A74587"/>
    <w:rsid w:val="00AA67E8"/>
    <w:rsid w:val="00AC70A4"/>
    <w:rsid w:val="00AF132E"/>
    <w:rsid w:val="00B66238"/>
    <w:rsid w:val="00B92C13"/>
    <w:rsid w:val="00BC0580"/>
    <w:rsid w:val="00BC1622"/>
    <w:rsid w:val="00BE17FD"/>
    <w:rsid w:val="00C74B62"/>
    <w:rsid w:val="00CB4589"/>
    <w:rsid w:val="00CD090E"/>
    <w:rsid w:val="00CE3A36"/>
    <w:rsid w:val="00CE5E22"/>
    <w:rsid w:val="00D26634"/>
    <w:rsid w:val="00DD3C3A"/>
    <w:rsid w:val="00DF2F59"/>
    <w:rsid w:val="00E2154C"/>
    <w:rsid w:val="00E954AD"/>
    <w:rsid w:val="00EA7781"/>
    <w:rsid w:val="00ED68E8"/>
    <w:rsid w:val="00EF3CC2"/>
    <w:rsid w:val="00F132C6"/>
    <w:rsid w:val="00F35AF4"/>
    <w:rsid w:val="00F36D82"/>
    <w:rsid w:val="00F444EB"/>
    <w:rsid w:val="00F539CA"/>
    <w:rsid w:val="00F61263"/>
    <w:rsid w:val="00FF31C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Microsoft Office User</cp:lastModifiedBy>
  <cp:revision>3</cp:revision>
  <cp:lastPrinted>2016-04-18T08:12:00Z</cp:lastPrinted>
  <dcterms:created xsi:type="dcterms:W3CDTF">2021-06-28T16:35:00Z</dcterms:created>
  <dcterms:modified xsi:type="dcterms:W3CDTF">2021-06-29T08:51:00Z</dcterms:modified>
</cp:coreProperties>
</file>